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E5" w:rsidRPr="00600AF1" w:rsidRDefault="00D338E5" w:rsidP="00D338E5">
      <w:pPr>
        <w:ind w:hanging="780"/>
        <w:jc w:val="center"/>
        <w:rPr>
          <w:b/>
          <w:sz w:val="24"/>
        </w:rPr>
      </w:pPr>
      <w:r w:rsidRPr="00600AF1">
        <w:rPr>
          <w:b/>
          <w:sz w:val="24"/>
        </w:rPr>
        <w:t>EXHIBIT C</w:t>
      </w:r>
    </w:p>
    <w:tbl>
      <w:tblPr>
        <w:tblW w:w="10558" w:type="dxa"/>
        <w:tblInd w:w="-571" w:type="dxa"/>
        <w:tblLayout w:type="fixed"/>
        <w:tblCellMar>
          <w:left w:w="177" w:type="dxa"/>
          <w:right w:w="177" w:type="dxa"/>
        </w:tblCellMar>
        <w:tblLook w:val="0000" w:firstRow="0" w:lastRow="0" w:firstColumn="0" w:lastColumn="0" w:noHBand="0" w:noVBand="0"/>
      </w:tblPr>
      <w:tblGrid>
        <w:gridCol w:w="10558"/>
      </w:tblGrid>
      <w:tr w:rsidR="00D338E5" w:rsidRPr="00FA4BCF" w:rsidTr="008D7F7A">
        <w:tc>
          <w:tcPr>
            <w:tcW w:w="10558" w:type="dxa"/>
            <w:tcBorders>
              <w:top w:val="double" w:sz="6" w:space="0" w:color="000000"/>
              <w:left w:val="double" w:sz="6" w:space="0" w:color="000000"/>
              <w:bottom w:val="single" w:sz="6" w:space="0" w:color="FFFFFF"/>
              <w:right w:val="double" w:sz="6" w:space="0" w:color="000000"/>
            </w:tcBorders>
          </w:tcPr>
          <w:p w:rsidR="00D338E5" w:rsidRPr="00FA4BCF" w:rsidRDefault="00D338E5" w:rsidP="008D7F7A">
            <w:pPr>
              <w:widowControl w:val="0"/>
              <w:tabs>
                <w:tab w:val="left" w:pos="9363"/>
              </w:tabs>
              <w:snapToGrid w:val="0"/>
              <w:spacing w:line="230" w:lineRule="auto"/>
              <w:ind w:right="3" w:firstLine="3"/>
              <w:jc w:val="center"/>
              <w:rPr>
                <w:i/>
                <w:sz w:val="18"/>
                <w:szCs w:val="18"/>
              </w:rPr>
            </w:pPr>
            <w:r w:rsidRPr="00FA4BCF">
              <w:rPr>
                <w:b/>
                <w:sz w:val="18"/>
                <w:szCs w:val="18"/>
              </w:rPr>
              <w:t>COLORADO DEPARTMENT OF TRANSPORTATION</w:t>
            </w:r>
          </w:p>
          <w:p w:rsidR="00D338E5" w:rsidRPr="00FA4BCF" w:rsidRDefault="00D338E5" w:rsidP="008D7F7A">
            <w:pPr>
              <w:widowControl w:val="0"/>
              <w:snapToGrid w:val="0"/>
              <w:spacing w:line="232" w:lineRule="auto"/>
              <w:ind w:right="3" w:firstLine="3"/>
              <w:jc w:val="center"/>
              <w:rPr>
                <w:b/>
                <w:sz w:val="18"/>
                <w:szCs w:val="18"/>
              </w:rPr>
            </w:pPr>
            <w:r w:rsidRPr="00FA4BCF">
              <w:rPr>
                <w:b/>
                <w:sz w:val="18"/>
                <w:szCs w:val="18"/>
              </w:rPr>
              <w:t>APPLICATION FOR APPRAISAL QUALIFICATION FOR WORK ON</w:t>
            </w:r>
          </w:p>
          <w:p w:rsidR="00D338E5" w:rsidRPr="00FA4BCF" w:rsidRDefault="00D338E5" w:rsidP="008D7F7A">
            <w:pPr>
              <w:widowControl w:val="0"/>
              <w:snapToGrid w:val="0"/>
              <w:spacing w:line="232" w:lineRule="auto"/>
              <w:ind w:right="3" w:firstLine="3"/>
              <w:jc w:val="center"/>
              <w:rPr>
                <w:i/>
                <w:sz w:val="18"/>
                <w:szCs w:val="18"/>
              </w:rPr>
            </w:pPr>
            <w:r w:rsidRPr="00FA4BCF">
              <w:rPr>
                <w:b/>
                <w:sz w:val="18"/>
                <w:szCs w:val="18"/>
              </w:rPr>
              <w:t>LOCAL PUBLIC AGENCY (LPA) PROJECTS</w:t>
            </w:r>
          </w:p>
        </w:tc>
      </w:tr>
      <w:tr w:rsidR="00D338E5" w:rsidRPr="00FA4BCF" w:rsidTr="008D7F7A">
        <w:tc>
          <w:tcPr>
            <w:tcW w:w="10558" w:type="dxa"/>
            <w:tcBorders>
              <w:top w:val="single" w:sz="6" w:space="0" w:color="000000"/>
              <w:left w:val="double" w:sz="6" w:space="0" w:color="000000"/>
              <w:bottom w:val="double" w:sz="6" w:space="0" w:color="000000"/>
              <w:right w:val="double" w:sz="6" w:space="0" w:color="000000"/>
            </w:tcBorders>
          </w:tcPr>
          <w:p w:rsidR="00D338E5" w:rsidRPr="00FA4BCF" w:rsidRDefault="00D338E5" w:rsidP="008D7F7A">
            <w:pPr>
              <w:widowControl w:val="0"/>
              <w:tabs>
                <w:tab w:val="left" w:pos="9363"/>
              </w:tabs>
              <w:snapToGrid w:val="0"/>
              <w:spacing w:line="163" w:lineRule="exact"/>
              <w:ind w:left="-720" w:right="3" w:firstLine="723"/>
              <w:rPr>
                <w:sz w:val="18"/>
                <w:szCs w:val="18"/>
              </w:rPr>
            </w:pPr>
          </w:p>
          <w:p w:rsidR="00D338E5" w:rsidRPr="00FA4BCF" w:rsidRDefault="00D338E5" w:rsidP="008D7F7A">
            <w:pPr>
              <w:widowControl w:val="0"/>
              <w:tabs>
                <w:tab w:val="left" w:pos="9363"/>
              </w:tabs>
              <w:snapToGrid w:val="0"/>
              <w:spacing w:after="58" w:line="230" w:lineRule="auto"/>
              <w:ind w:left="-720" w:right="3" w:firstLine="723"/>
              <w:rPr>
                <w:sz w:val="18"/>
                <w:szCs w:val="18"/>
              </w:rPr>
            </w:pPr>
            <w:r w:rsidRPr="00FA4BCF">
              <w:rPr>
                <w:b/>
                <w:sz w:val="18"/>
                <w:szCs w:val="18"/>
              </w:rPr>
              <w:t>Return to:</w:t>
            </w:r>
            <w:r w:rsidRPr="00FA4BCF">
              <w:rPr>
                <w:sz w:val="18"/>
                <w:szCs w:val="18"/>
              </w:rPr>
              <w:t xml:space="preserve">  Region Right of Way Office </w:t>
            </w:r>
          </w:p>
        </w:tc>
      </w:tr>
    </w:tbl>
    <w:p w:rsidR="00D338E5" w:rsidRPr="00FA4BCF" w:rsidRDefault="00D338E5" w:rsidP="00D338E5">
      <w:pPr>
        <w:widowControl w:val="0"/>
        <w:snapToGrid w:val="0"/>
        <w:spacing w:line="230" w:lineRule="auto"/>
        <w:ind w:left="-720" w:firstLine="723"/>
        <w:jc w:val="both"/>
        <w:rPr>
          <w:snapToGrid/>
          <w:sz w:val="18"/>
          <w:szCs w:val="18"/>
        </w:rPr>
      </w:pPr>
    </w:p>
    <w:tbl>
      <w:tblPr>
        <w:tblW w:w="10558" w:type="dxa"/>
        <w:tblInd w:w="-595" w:type="dxa"/>
        <w:tblLayout w:type="fixed"/>
        <w:tblCellMar>
          <w:left w:w="153" w:type="dxa"/>
          <w:right w:w="153" w:type="dxa"/>
        </w:tblCellMar>
        <w:tblLook w:val="0000" w:firstRow="0" w:lastRow="0" w:firstColumn="0" w:lastColumn="0" w:noHBand="0" w:noVBand="0"/>
      </w:tblPr>
      <w:tblGrid>
        <w:gridCol w:w="6184"/>
        <w:gridCol w:w="4374"/>
      </w:tblGrid>
      <w:tr w:rsidR="00D338E5" w:rsidRPr="00FA4BCF" w:rsidTr="008D7F7A">
        <w:tc>
          <w:tcPr>
            <w:tcW w:w="6184" w:type="dxa"/>
            <w:tcBorders>
              <w:top w:val="double" w:sz="6" w:space="0" w:color="000000"/>
              <w:left w:val="double" w:sz="6" w:space="0" w:color="000000"/>
              <w:bottom w:val="single" w:sz="6" w:space="0" w:color="FFFFFF"/>
              <w:right w:val="single" w:sz="6" w:space="0" w:color="FFFFFF"/>
            </w:tcBorders>
          </w:tcPr>
          <w:p w:rsidR="00D338E5" w:rsidRPr="00FA4BCF" w:rsidRDefault="00D338E5" w:rsidP="008D7F7A">
            <w:pPr>
              <w:widowControl w:val="0"/>
              <w:snapToGrid w:val="0"/>
              <w:spacing w:line="230" w:lineRule="auto"/>
              <w:ind w:left="-720" w:firstLine="723"/>
              <w:rPr>
                <w:sz w:val="18"/>
                <w:szCs w:val="18"/>
              </w:rPr>
            </w:pPr>
            <w:r w:rsidRPr="00FA4BCF">
              <w:rPr>
                <w:sz w:val="18"/>
                <w:szCs w:val="18"/>
              </w:rPr>
              <w:t>Name (Individual)</w:t>
            </w:r>
          </w:p>
          <w:p w:rsidR="00D338E5" w:rsidRPr="00FA4BCF" w:rsidRDefault="00D338E5" w:rsidP="008D7F7A">
            <w:pPr>
              <w:widowControl w:val="0"/>
              <w:snapToGrid w:val="0"/>
              <w:spacing w:line="230" w:lineRule="auto"/>
              <w:ind w:left="-720" w:firstLine="723"/>
              <w:rPr>
                <w:sz w:val="18"/>
                <w:szCs w:val="18"/>
              </w:rPr>
            </w:pPr>
          </w:p>
        </w:tc>
        <w:tc>
          <w:tcPr>
            <w:tcW w:w="4374" w:type="dxa"/>
            <w:tcBorders>
              <w:top w:val="double" w:sz="6" w:space="0" w:color="000000"/>
              <w:left w:val="single" w:sz="6" w:space="0" w:color="000000"/>
              <w:bottom w:val="single" w:sz="6" w:space="0" w:color="FFFFFF"/>
              <w:right w:val="double" w:sz="6" w:space="0" w:color="000000"/>
            </w:tcBorders>
          </w:tcPr>
          <w:p w:rsidR="00D338E5" w:rsidRPr="00FA4BCF" w:rsidRDefault="00D338E5" w:rsidP="008D7F7A">
            <w:pPr>
              <w:widowControl w:val="0"/>
              <w:snapToGrid w:val="0"/>
              <w:spacing w:line="230" w:lineRule="auto"/>
              <w:ind w:left="-720" w:firstLine="723"/>
              <w:rPr>
                <w:sz w:val="18"/>
                <w:szCs w:val="18"/>
              </w:rPr>
            </w:pPr>
            <w:r w:rsidRPr="00FA4BCF">
              <w:rPr>
                <w:sz w:val="18"/>
                <w:szCs w:val="18"/>
              </w:rPr>
              <w:t>Phone Number</w:t>
            </w:r>
          </w:p>
        </w:tc>
      </w:tr>
      <w:tr w:rsidR="00D338E5" w:rsidRPr="00FA4BCF" w:rsidTr="008D7F7A">
        <w:tc>
          <w:tcPr>
            <w:tcW w:w="6184" w:type="dxa"/>
            <w:tcBorders>
              <w:top w:val="single" w:sz="6" w:space="0" w:color="000000"/>
              <w:left w:val="double" w:sz="6" w:space="0" w:color="000000"/>
              <w:bottom w:val="single" w:sz="6" w:space="0" w:color="FFFFFF"/>
              <w:right w:val="single" w:sz="6" w:space="0" w:color="FFFFFF"/>
            </w:tcBorders>
          </w:tcPr>
          <w:p w:rsidR="00D338E5" w:rsidRPr="00FA4BCF" w:rsidRDefault="00D338E5" w:rsidP="008D7F7A">
            <w:pPr>
              <w:widowControl w:val="0"/>
              <w:snapToGrid w:val="0"/>
              <w:spacing w:line="230" w:lineRule="auto"/>
              <w:ind w:left="-720" w:firstLine="723"/>
              <w:rPr>
                <w:sz w:val="18"/>
                <w:szCs w:val="18"/>
              </w:rPr>
            </w:pPr>
            <w:r w:rsidRPr="00FA4BCF">
              <w:rPr>
                <w:sz w:val="18"/>
                <w:szCs w:val="18"/>
              </w:rPr>
              <w:t>Address (street, city, state, zip)</w:t>
            </w:r>
          </w:p>
          <w:p w:rsidR="00D338E5" w:rsidRPr="00FA4BCF" w:rsidRDefault="00D338E5" w:rsidP="008D7F7A">
            <w:pPr>
              <w:widowControl w:val="0"/>
              <w:snapToGrid w:val="0"/>
              <w:spacing w:line="230" w:lineRule="auto"/>
              <w:ind w:left="-720" w:firstLine="723"/>
              <w:rPr>
                <w:sz w:val="18"/>
                <w:szCs w:val="18"/>
              </w:rPr>
            </w:pPr>
          </w:p>
          <w:p w:rsidR="00D338E5" w:rsidRPr="00FA4BCF" w:rsidRDefault="00D338E5" w:rsidP="008D7F7A">
            <w:pPr>
              <w:widowControl w:val="0"/>
              <w:snapToGrid w:val="0"/>
              <w:spacing w:line="230" w:lineRule="auto"/>
              <w:ind w:left="-720" w:firstLine="723"/>
              <w:rPr>
                <w:sz w:val="18"/>
                <w:szCs w:val="18"/>
              </w:rPr>
            </w:pPr>
          </w:p>
          <w:p w:rsidR="00D338E5" w:rsidRPr="00FA4BCF" w:rsidRDefault="00D338E5" w:rsidP="008D7F7A">
            <w:pPr>
              <w:widowControl w:val="0"/>
              <w:snapToGrid w:val="0"/>
              <w:spacing w:line="230" w:lineRule="auto"/>
              <w:rPr>
                <w:sz w:val="18"/>
                <w:szCs w:val="18"/>
              </w:rPr>
            </w:pPr>
          </w:p>
        </w:tc>
        <w:tc>
          <w:tcPr>
            <w:tcW w:w="4374" w:type="dxa"/>
            <w:tcBorders>
              <w:top w:val="single" w:sz="6" w:space="0" w:color="000000"/>
              <w:left w:val="single" w:sz="6" w:space="0" w:color="000000"/>
              <w:bottom w:val="single" w:sz="6" w:space="0" w:color="FFFFFF"/>
              <w:right w:val="double" w:sz="6" w:space="0" w:color="000000"/>
            </w:tcBorders>
          </w:tcPr>
          <w:p w:rsidR="00D338E5" w:rsidRPr="00FA4BCF" w:rsidRDefault="00D338E5" w:rsidP="008D7F7A">
            <w:pPr>
              <w:widowControl w:val="0"/>
              <w:snapToGrid w:val="0"/>
              <w:spacing w:line="230" w:lineRule="auto"/>
              <w:ind w:left="-720" w:firstLine="723"/>
              <w:rPr>
                <w:sz w:val="18"/>
                <w:szCs w:val="18"/>
              </w:rPr>
            </w:pPr>
            <w:r w:rsidRPr="00FA4BCF">
              <w:rPr>
                <w:sz w:val="18"/>
                <w:szCs w:val="18"/>
              </w:rPr>
              <w:t>Fax Number</w:t>
            </w:r>
          </w:p>
          <w:p w:rsidR="00D338E5" w:rsidRPr="00FA4BCF" w:rsidRDefault="00D338E5" w:rsidP="008D7F7A">
            <w:pPr>
              <w:widowControl w:val="0"/>
              <w:snapToGrid w:val="0"/>
              <w:spacing w:line="230" w:lineRule="auto"/>
              <w:ind w:left="-720" w:firstLine="723"/>
              <w:rPr>
                <w:sz w:val="18"/>
                <w:szCs w:val="18"/>
              </w:rPr>
            </w:pPr>
          </w:p>
          <w:p w:rsidR="00D338E5" w:rsidRPr="00FA4BCF" w:rsidRDefault="00D338E5" w:rsidP="008D7F7A">
            <w:pPr>
              <w:widowControl w:val="0"/>
              <w:snapToGrid w:val="0"/>
              <w:spacing w:line="230" w:lineRule="auto"/>
              <w:ind w:left="-720" w:firstLine="723"/>
              <w:rPr>
                <w:sz w:val="18"/>
                <w:szCs w:val="18"/>
              </w:rPr>
            </w:pPr>
            <w:r w:rsidRPr="00FA4BCF">
              <w:rPr>
                <w:sz w:val="18"/>
                <w:szCs w:val="18"/>
              </w:rPr>
              <w:t>E-mail Address</w:t>
            </w:r>
          </w:p>
          <w:p w:rsidR="00D338E5" w:rsidRPr="00FA4BCF" w:rsidRDefault="00D338E5" w:rsidP="008D7F7A">
            <w:pPr>
              <w:widowControl w:val="0"/>
              <w:snapToGrid w:val="0"/>
              <w:spacing w:line="230" w:lineRule="auto"/>
              <w:ind w:left="-720" w:firstLine="723"/>
              <w:rPr>
                <w:sz w:val="18"/>
                <w:szCs w:val="18"/>
              </w:rPr>
            </w:pPr>
          </w:p>
        </w:tc>
      </w:tr>
      <w:tr w:rsidR="00D338E5" w:rsidRPr="00FA4BCF" w:rsidTr="008D7F7A">
        <w:tc>
          <w:tcPr>
            <w:tcW w:w="6184" w:type="dxa"/>
            <w:tcBorders>
              <w:top w:val="single" w:sz="6" w:space="0" w:color="000000"/>
              <w:left w:val="double" w:sz="6" w:space="0" w:color="000000"/>
              <w:bottom w:val="double" w:sz="6" w:space="0" w:color="000000"/>
              <w:right w:val="single" w:sz="6" w:space="0" w:color="FFFFFF"/>
            </w:tcBorders>
          </w:tcPr>
          <w:p w:rsidR="00D338E5" w:rsidRPr="00FA4BCF" w:rsidRDefault="00D338E5" w:rsidP="008D7F7A">
            <w:pPr>
              <w:widowControl w:val="0"/>
              <w:snapToGrid w:val="0"/>
              <w:spacing w:line="230" w:lineRule="auto"/>
              <w:ind w:left="-720" w:firstLine="723"/>
              <w:rPr>
                <w:sz w:val="18"/>
                <w:szCs w:val="18"/>
              </w:rPr>
            </w:pPr>
            <w:r w:rsidRPr="00FA4BCF">
              <w:rPr>
                <w:sz w:val="18"/>
                <w:szCs w:val="18"/>
              </w:rPr>
              <w:t>LPA or Firm associated with (if applicable)</w:t>
            </w:r>
          </w:p>
          <w:p w:rsidR="00D338E5" w:rsidRPr="00FA4BCF" w:rsidRDefault="00D338E5" w:rsidP="008D7F7A">
            <w:pPr>
              <w:widowControl w:val="0"/>
              <w:snapToGrid w:val="0"/>
              <w:spacing w:line="230" w:lineRule="auto"/>
              <w:ind w:left="-720" w:firstLine="723"/>
              <w:rPr>
                <w:sz w:val="18"/>
                <w:szCs w:val="18"/>
              </w:rPr>
            </w:pPr>
          </w:p>
          <w:p w:rsidR="00D338E5" w:rsidRPr="00FA4BCF" w:rsidRDefault="00D338E5" w:rsidP="008D7F7A">
            <w:pPr>
              <w:widowControl w:val="0"/>
              <w:snapToGrid w:val="0"/>
              <w:spacing w:line="230" w:lineRule="auto"/>
              <w:ind w:left="-720" w:firstLine="723"/>
              <w:rPr>
                <w:sz w:val="18"/>
                <w:szCs w:val="18"/>
              </w:rPr>
            </w:pPr>
          </w:p>
          <w:p w:rsidR="00D338E5" w:rsidRPr="00FA4BCF" w:rsidRDefault="00D338E5" w:rsidP="008D7F7A">
            <w:pPr>
              <w:widowControl w:val="0"/>
              <w:snapToGrid w:val="0"/>
              <w:spacing w:after="58" w:line="230" w:lineRule="auto"/>
              <w:ind w:left="-720" w:firstLine="723"/>
              <w:rPr>
                <w:sz w:val="18"/>
                <w:szCs w:val="18"/>
              </w:rPr>
            </w:pPr>
            <w:r w:rsidRPr="00FA4BCF">
              <w:rPr>
                <w:sz w:val="18"/>
                <w:szCs w:val="18"/>
              </w:rPr>
              <w:t>Legal Status: (Corporation, Partnership, Association, etc.)</w:t>
            </w:r>
          </w:p>
          <w:p w:rsidR="00D338E5" w:rsidRPr="00FA4BCF" w:rsidRDefault="00D338E5" w:rsidP="008D7F7A">
            <w:pPr>
              <w:widowControl w:val="0"/>
              <w:snapToGrid w:val="0"/>
              <w:spacing w:after="58" w:line="230" w:lineRule="auto"/>
              <w:ind w:left="-720" w:firstLine="723"/>
              <w:rPr>
                <w:sz w:val="18"/>
                <w:szCs w:val="18"/>
              </w:rPr>
            </w:pPr>
          </w:p>
        </w:tc>
        <w:tc>
          <w:tcPr>
            <w:tcW w:w="4374" w:type="dxa"/>
            <w:tcBorders>
              <w:top w:val="single" w:sz="6" w:space="0" w:color="000000"/>
              <w:left w:val="single" w:sz="6" w:space="0" w:color="000000"/>
              <w:bottom w:val="double" w:sz="6" w:space="0" w:color="000000"/>
              <w:right w:val="double" w:sz="6" w:space="0" w:color="000000"/>
            </w:tcBorders>
          </w:tcPr>
          <w:p w:rsidR="00D338E5" w:rsidRPr="00FA4BCF" w:rsidRDefault="00D338E5" w:rsidP="008D7F7A">
            <w:pPr>
              <w:widowControl w:val="0"/>
              <w:snapToGrid w:val="0"/>
              <w:spacing w:after="58" w:line="230" w:lineRule="auto"/>
              <w:ind w:left="-720" w:firstLine="723"/>
              <w:rPr>
                <w:sz w:val="18"/>
                <w:szCs w:val="18"/>
              </w:rPr>
            </w:pPr>
            <w:r w:rsidRPr="00FA4BCF">
              <w:rPr>
                <w:sz w:val="18"/>
                <w:szCs w:val="18"/>
              </w:rPr>
              <w:t>Social Security or FEIN Number</w:t>
            </w:r>
          </w:p>
          <w:p w:rsidR="00D338E5" w:rsidRPr="00FA4BCF" w:rsidRDefault="00D338E5" w:rsidP="008D7F7A">
            <w:pPr>
              <w:widowControl w:val="0"/>
              <w:snapToGrid w:val="0"/>
              <w:spacing w:after="58" w:line="230" w:lineRule="auto"/>
              <w:ind w:left="-720" w:firstLine="723"/>
              <w:rPr>
                <w:sz w:val="18"/>
                <w:szCs w:val="18"/>
              </w:rPr>
            </w:pPr>
          </w:p>
          <w:p w:rsidR="00D338E5" w:rsidRPr="00FA4BCF" w:rsidRDefault="00D338E5" w:rsidP="008D7F7A">
            <w:pPr>
              <w:widowControl w:val="0"/>
              <w:snapToGrid w:val="0"/>
              <w:spacing w:after="58" w:line="230" w:lineRule="auto"/>
              <w:rPr>
                <w:sz w:val="18"/>
                <w:szCs w:val="18"/>
              </w:rPr>
            </w:pPr>
            <w:r w:rsidRPr="00FA4BCF">
              <w:rPr>
                <w:sz w:val="18"/>
                <w:szCs w:val="18"/>
              </w:rPr>
              <w:t>Colorado Certified General License Number</w:t>
            </w:r>
          </w:p>
          <w:p w:rsidR="00D338E5" w:rsidRPr="00FA4BCF" w:rsidRDefault="00D338E5" w:rsidP="008D7F7A">
            <w:pPr>
              <w:widowControl w:val="0"/>
              <w:snapToGrid w:val="0"/>
              <w:spacing w:after="58" w:line="230" w:lineRule="auto"/>
              <w:rPr>
                <w:sz w:val="18"/>
                <w:szCs w:val="18"/>
              </w:rPr>
            </w:pPr>
          </w:p>
        </w:tc>
      </w:tr>
    </w:tbl>
    <w:p w:rsidR="00D338E5" w:rsidRPr="00FA4BCF" w:rsidRDefault="00D338E5" w:rsidP="00D338E5">
      <w:pPr>
        <w:widowControl w:val="0"/>
        <w:snapToGrid w:val="0"/>
        <w:spacing w:line="230" w:lineRule="auto"/>
        <w:ind w:left="-720"/>
        <w:jc w:val="both"/>
        <w:rPr>
          <w:sz w:val="18"/>
          <w:szCs w:val="18"/>
        </w:rPr>
      </w:pPr>
    </w:p>
    <w:p w:rsidR="00D338E5" w:rsidRPr="00FA4BCF" w:rsidRDefault="00D338E5" w:rsidP="00D338E5">
      <w:pPr>
        <w:widowControl w:val="0"/>
        <w:snapToGrid w:val="0"/>
        <w:ind w:left="-720"/>
        <w:jc w:val="both"/>
        <w:rPr>
          <w:sz w:val="18"/>
          <w:szCs w:val="18"/>
        </w:rPr>
      </w:pPr>
      <w:r w:rsidRPr="00FA4BCF">
        <w:rPr>
          <w:sz w:val="18"/>
          <w:szCs w:val="18"/>
        </w:rPr>
        <w:t xml:space="preserve">The purpose of this statement is to establish a list of qualified individuals who may be hired by LPAs for LPA Project(s). </w:t>
      </w:r>
    </w:p>
    <w:p w:rsidR="00D338E5" w:rsidRPr="00FA4BCF" w:rsidRDefault="00D338E5" w:rsidP="00D338E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30" w:lineRule="auto"/>
        <w:ind w:left="-720" w:right="389"/>
        <w:jc w:val="both"/>
        <w:rPr>
          <w:sz w:val="18"/>
          <w:szCs w:val="18"/>
        </w:rPr>
      </w:pPr>
    </w:p>
    <w:p w:rsidR="00D338E5" w:rsidRPr="00FA4BCF" w:rsidRDefault="00D338E5" w:rsidP="00D338E5">
      <w:pPr>
        <w:widowControl w:val="0"/>
        <w:tabs>
          <w:tab w:val="center" w:pos="4792"/>
          <w:tab w:val="left" w:pos="5040"/>
          <w:tab w:val="left" w:pos="5760"/>
          <w:tab w:val="left" w:pos="6480"/>
          <w:tab w:val="left" w:pos="7200"/>
          <w:tab w:val="left" w:pos="7920"/>
          <w:tab w:val="left" w:pos="8640"/>
          <w:tab w:val="left" w:pos="9360"/>
        </w:tabs>
        <w:snapToGrid w:val="0"/>
        <w:spacing w:line="230" w:lineRule="auto"/>
        <w:ind w:left="-720" w:right="389"/>
        <w:jc w:val="both"/>
        <w:rPr>
          <w:b/>
          <w:sz w:val="18"/>
          <w:szCs w:val="18"/>
        </w:rPr>
      </w:pPr>
      <w:r w:rsidRPr="00FA4BCF">
        <w:rPr>
          <w:b/>
          <w:sz w:val="18"/>
          <w:szCs w:val="18"/>
        </w:rPr>
        <w:fldChar w:fldCharType="begin">
          <w:ffData>
            <w:name w:val="Check2"/>
            <w:enabled/>
            <w:calcOnExit w:val="0"/>
            <w:checkBox>
              <w:sizeAuto/>
              <w:default w:val="0"/>
            </w:checkBox>
          </w:ffData>
        </w:fldChar>
      </w:r>
      <w:r w:rsidRPr="00FA4BCF">
        <w:rPr>
          <w:b/>
          <w:sz w:val="18"/>
          <w:szCs w:val="18"/>
        </w:rPr>
        <w:instrText xml:space="preserve"> FORMCHECKBOX </w:instrText>
      </w:r>
      <w:r w:rsidRPr="00FA4BCF">
        <w:rPr>
          <w:rFonts w:ascii="Arial terminal" w:hAnsi="Arial terminal"/>
          <w:sz w:val="18"/>
          <w:szCs w:val="18"/>
        </w:rPr>
      </w:r>
      <w:r w:rsidRPr="00FA4BCF">
        <w:rPr>
          <w:rFonts w:ascii="Arial terminal" w:hAnsi="Arial terminal"/>
          <w:sz w:val="18"/>
          <w:szCs w:val="18"/>
        </w:rPr>
        <w:fldChar w:fldCharType="end"/>
      </w:r>
      <w:r w:rsidRPr="00FA4BCF">
        <w:rPr>
          <w:b/>
          <w:sz w:val="18"/>
          <w:szCs w:val="18"/>
        </w:rPr>
        <w:t xml:space="preserve">  CRITERIA FOR QUALIFICATION – REAL ESTATE APPRAISAL SERVICES</w:t>
      </w:r>
    </w:p>
    <w:p w:rsidR="00D338E5" w:rsidRPr="00FA4BCF" w:rsidRDefault="00D338E5" w:rsidP="00D338E5">
      <w:pPr>
        <w:widowControl w:val="0"/>
        <w:tabs>
          <w:tab w:val="left" w:pos="7200"/>
        </w:tabs>
        <w:snapToGrid w:val="0"/>
        <w:spacing w:line="230" w:lineRule="auto"/>
        <w:ind w:left="-720"/>
        <w:jc w:val="both"/>
        <w:rPr>
          <w:sz w:val="18"/>
          <w:szCs w:val="18"/>
        </w:rPr>
      </w:pPr>
      <w:r w:rsidRPr="00FA4BCF">
        <w:rPr>
          <w:sz w:val="18"/>
          <w:szCs w:val="18"/>
        </w:rPr>
        <w:t>In order to qualify for Appraisal Services, you must comply with each of the following criteria:</w:t>
      </w:r>
    </w:p>
    <w:p w:rsidR="00D338E5" w:rsidRPr="00FA4BCF" w:rsidRDefault="00D338E5" w:rsidP="00D338E5">
      <w:pPr>
        <w:widowControl w:val="0"/>
        <w:tabs>
          <w:tab w:val="left" w:pos="7200"/>
        </w:tabs>
        <w:snapToGrid w:val="0"/>
        <w:spacing w:line="230" w:lineRule="auto"/>
        <w:ind w:left="-720"/>
        <w:jc w:val="both"/>
        <w:rPr>
          <w:sz w:val="18"/>
          <w:szCs w:val="18"/>
        </w:rPr>
      </w:pPr>
    </w:p>
    <w:p w:rsidR="00D338E5" w:rsidRPr="00FA4BCF" w:rsidRDefault="00D338E5" w:rsidP="00D338E5">
      <w:pPr>
        <w:widowControl w:val="0"/>
        <w:tabs>
          <w:tab w:val="left" w:pos="7200"/>
        </w:tabs>
        <w:snapToGrid w:val="0"/>
        <w:spacing w:line="230" w:lineRule="auto"/>
        <w:jc w:val="both"/>
        <w:rPr>
          <w:sz w:val="18"/>
          <w:szCs w:val="18"/>
        </w:rPr>
      </w:pPr>
      <w:r w:rsidRPr="00FA4BCF">
        <w:rPr>
          <w:b/>
          <w:sz w:val="18"/>
          <w:szCs w:val="18"/>
        </w:rPr>
        <w:fldChar w:fldCharType="begin">
          <w:ffData>
            <w:name w:val="Check2"/>
            <w:enabled/>
            <w:calcOnExit w:val="0"/>
            <w:checkBox>
              <w:sizeAuto/>
              <w:default w:val="0"/>
            </w:checkBox>
          </w:ffData>
        </w:fldChar>
      </w:r>
      <w:r w:rsidRPr="00FA4BCF">
        <w:rPr>
          <w:b/>
          <w:sz w:val="18"/>
          <w:szCs w:val="18"/>
        </w:rPr>
        <w:instrText xml:space="preserve"> FORMCHECKBOX </w:instrText>
      </w:r>
      <w:r w:rsidRPr="00FA4BCF">
        <w:rPr>
          <w:rFonts w:ascii="Arial terminal" w:hAnsi="Arial terminal"/>
          <w:sz w:val="18"/>
          <w:szCs w:val="18"/>
        </w:rPr>
      </w:r>
      <w:r w:rsidRPr="00FA4BCF">
        <w:rPr>
          <w:rFonts w:ascii="Arial terminal" w:hAnsi="Arial terminal"/>
          <w:sz w:val="18"/>
          <w:szCs w:val="18"/>
        </w:rPr>
        <w:fldChar w:fldCharType="end"/>
      </w:r>
      <w:r w:rsidRPr="00FA4BCF">
        <w:rPr>
          <w:b/>
          <w:sz w:val="18"/>
          <w:szCs w:val="18"/>
        </w:rPr>
        <w:t xml:space="preserve">  APPRAISER CERTIFICATION:</w:t>
      </w:r>
    </w:p>
    <w:p w:rsidR="00D338E5" w:rsidRPr="00FA4BCF" w:rsidRDefault="00D338E5" w:rsidP="00D338E5">
      <w:pPr>
        <w:jc w:val="both"/>
        <w:rPr>
          <w:rFonts w:cs="Arial"/>
          <w:sz w:val="18"/>
          <w:szCs w:val="18"/>
        </w:rPr>
      </w:pPr>
      <w:r w:rsidRPr="00FA4BCF">
        <w:rPr>
          <w:rFonts w:cs="Arial"/>
          <w:bCs w:val="0"/>
          <w:sz w:val="18"/>
          <w:szCs w:val="18"/>
        </w:rPr>
        <w:t>You must possess and maintain a current Colorado Certified General Appraiser license, and submit a copy of the license</w:t>
      </w:r>
      <w:r w:rsidRPr="00FA4BCF">
        <w:rPr>
          <w:sz w:val="18"/>
          <w:szCs w:val="18"/>
        </w:rPr>
        <w:t xml:space="preserve"> </w:t>
      </w:r>
      <w:r w:rsidRPr="00FA4BCF">
        <w:rPr>
          <w:rFonts w:cs="Arial"/>
          <w:bCs w:val="0"/>
          <w:sz w:val="18"/>
          <w:szCs w:val="18"/>
        </w:rPr>
        <w:t xml:space="preserve">with this statement.  You must state whether or not your state </w:t>
      </w:r>
      <w:r w:rsidRPr="00FA4BCF">
        <w:rPr>
          <w:rFonts w:cs="Arial"/>
          <w:sz w:val="18"/>
          <w:szCs w:val="18"/>
        </w:rPr>
        <w:t>license or any professional designation you have is currently or has been under disciplinary action by the State of Colorado Board of Real Estate Appraisers or by any professional appraisal organization.</w:t>
      </w:r>
    </w:p>
    <w:p w:rsidR="00D338E5" w:rsidRPr="00FA4BCF" w:rsidRDefault="00D338E5" w:rsidP="00D338E5">
      <w:pPr>
        <w:jc w:val="both"/>
        <w:rPr>
          <w:rFonts w:cs="Arial"/>
          <w:sz w:val="18"/>
          <w:szCs w:val="18"/>
        </w:rPr>
      </w:pPr>
    </w:p>
    <w:p w:rsidR="00D338E5" w:rsidRPr="00FA4BCF" w:rsidRDefault="00D338E5" w:rsidP="00D338E5">
      <w:pPr>
        <w:jc w:val="both"/>
        <w:rPr>
          <w:rFonts w:cs="Arial"/>
          <w:sz w:val="18"/>
          <w:szCs w:val="18"/>
        </w:rPr>
      </w:pPr>
      <w:r w:rsidRPr="00FA4BCF">
        <w:rPr>
          <w:b/>
          <w:sz w:val="18"/>
          <w:szCs w:val="18"/>
        </w:rPr>
        <w:fldChar w:fldCharType="begin">
          <w:ffData>
            <w:name w:val="Check2"/>
            <w:enabled/>
            <w:calcOnExit w:val="0"/>
            <w:checkBox>
              <w:sizeAuto/>
              <w:default w:val="0"/>
            </w:checkBox>
          </w:ffData>
        </w:fldChar>
      </w:r>
      <w:r w:rsidRPr="00FA4BCF">
        <w:rPr>
          <w:b/>
          <w:sz w:val="18"/>
          <w:szCs w:val="18"/>
        </w:rPr>
        <w:instrText xml:space="preserve"> FORMCHECKBOX </w:instrText>
      </w:r>
      <w:r w:rsidRPr="00FA4BCF">
        <w:rPr>
          <w:rFonts w:ascii="Arial terminal" w:hAnsi="Arial terminal"/>
          <w:sz w:val="18"/>
          <w:szCs w:val="18"/>
        </w:rPr>
      </w:r>
      <w:r w:rsidRPr="00FA4BCF">
        <w:rPr>
          <w:rFonts w:ascii="Arial terminal" w:hAnsi="Arial terminal"/>
          <w:sz w:val="18"/>
          <w:szCs w:val="18"/>
        </w:rPr>
        <w:fldChar w:fldCharType="end"/>
      </w:r>
      <w:r w:rsidRPr="00FA4BCF">
        <w:rPr>
          <w:b/>
          <w:sz w:val="18"/>
          <w:szCs w:val="18"/>
        </w:rPr>
        <w:t xml:space="preserve">  </w:t>
      </w:r>
      <w:r w:rsidRPr="00FA4BCF">
        <w:rPr>
          <w:rFonts w:cs="Arial"/>
          <w:b/>
          <w:caps/>
          <w:sz w:val="18"/>
          <w:szCs w:val="18"/>
        </w:rPr>
        <w:t>APPRAISAL REPORT – SAMPLE DOCUMENT:</w:t>
      </w:r>
    </w:p>
    <w:p w:rsidR="00D338E5" w:rsidRPr="00FA4BCF" w:rsidRDefault="00D338E5" w:rsidP="00D338E5">
      <w:pPr>
        <w:jc w:val="both"/>
        <w:rPr>
          <w:sz w:val="18"/>
          <w:szCs w:val="18"/>
          <w:u w:val="single"/>
        </w:rPr>
      </w:pPr>
      <w:r w:rsidRPr="00FA4BCF">
        <w:rPr>
          <w:sz w:val="18"/>
          <w:szCs w:val="18"/>
        </w:rPr>
        <w:t xml:space="preserve">To demonstrate your appraisal ability, submit a copy of your best example of a </w:t>
      </w:r>
      <w:r w:rsidRPr="00FA4BCF">
        <w:rPr>
          <w:sz w:val="18"/>
          <w:szCs w:val="18"/>
          <w:u w:val="single"/>
        </w:rPr>
        <w:t>partial acquisition</w:t>
      </w:r>
      <w:r w:rsidRPr="00FA4BCF">
        <w:rPr>
          <w:sz w:val="18"/>
          <w:szCs w:val="18"/>
        </w:rPr>
        <w:t xml:space="preserve"> eminent domain appraisal report that uses the State of Colorado’s modified before and after rule.  The appraisal report submitted must be a factual appraisal prepared for an </w:t>
      </w:r>
      <w:r w:rsidRPr="00FA4BCF">
        <w:rPr>
          <w:iCs/>
          <w:sz w:val="18"/>
          <w:szCs w:val="18"/>
          <w:u w:val="single"/>
        </w:rPr>
        <w:t>actual client</w:t>
      </w:r>
      <w:r w:rsidRPr="00FA4BCF">
        <w:rPr>
          <w:sz w:val="18"/>
          <w:szCs w:val="18"/>
        </w:rPr>
        <w:t xml:space="preserve">.  </w:t>
      </w:r>
      <w:r w:rsidRPr="00FA4BCF">
        <w:rPr>
          <w:sz w:val="18"/>
          <w:szCs w:val="18"/>
          <w:u w:val="single"/>
        </w:rPr>
        <w:t>“Demonstration Reports” will NOT be accepted</w:t>
      </w:r>
      <w:r w:rsidRPr="00FA4BCF">
        <w:rPr>
          <w:sz w:val="18"/>
          <w:szCs w:val="18"/>
        </w:rPr>
        <w:t xml:space="preserve">.  The appraisal report submitted with this statement may have been prepared for another condemning agency besides CDOT (municipality, county, utility company, etc.), or for a property owner.  In any case, you must have personally performed the appraisal.  The selected appraisal report must be signed by you as a sole signatory, </w:t>
      </w:r>
      <w:r w:rsidRPr="00FA4BCF">
        <w:rPr>
          <w:sz w:val="18"/>
          <w:szCs w:val="18"/>
          <w:u w:val="single"/>
        </w:rPr>
        <w:t>or</w:t>
      </w:r>
      <w:r w:rsidRPr="00FA4BCF">
        <w:rPr>
          <w:sz w:val="18"/>
          <w:szCs w:val="18"/>
        </w:rPr>
        <w:t xml:space="preserve"> co-signed by you.  If you are shown as sole signatory or as a co-signer, you will be considered as having performed all appraisal analysis including the final valuation conclusions.  </w:t>
      </w:r>
      <w:r w:rsidRPr="00FA4BCF">
        <w:rPr>
          <w:sz w:val="18"/>
          <w:szCs w:val="18"/>
          <w:u w:val="single"/>
        </w:rPr>
        <w:t>If more than one appraiser from an appraiser-staffed firm is submitting an LPA appraiser statement, each appraiser is required to submit a separate and individually distinct appraisal report on a different property.  In other words, if a report is co-signed then the main signatory and co-signor must decide which appraiser will submit that appraisal for evaluation.</w:t>
      </w:r>
    </w:p>
    <w:p w:rsidR="00D338E5" w:rsidRPr="00FA4BCF" w:rsidRDefault="00D338E5" w:rsidP="00D338E5">
      <w:pPr>
        <w:jc w:val="both"/>
        <w:rPr>
          <w:sz w:val="18"/>
          <w:szCs w:val="18"/>
          <w:u w:val="single"/>
        </w:rPr>
      </w:pPr>
    </w:p>
    <w:p w:rsidR="00D338E5" w:rsidRPr="00FA4BCF" w:rsidRDefault="00D338E5" w:rsidP="00D338E5">
      <w:pPr>
        <w:rPr>
          <w:sz w:val="18"/>
          <w:szCs w:val="18"/>
        </w:rPr>
      </w:pPr>
      <w:r w:rsidRPr="00FA4BCF">
        <w:rPr>
          <w:sz w:val="18"/>
          <w:szCs w:val="18"/>
        </w:rPr>
        <w:t xml:space="preserve">The proposer will be evaluated primarily on the partial acquisition appraisal report submitted.  </w:t>
      </w:r>
      <w:r w:rsidRPr="00FA4BCF">
        <w:rPr>
          <w:iCs/>
          <w:sz w:val="18"/>
          <w:szCs w:val="18"/>
        </w:rPr>
        <w:t>Specifically, evaluation will focus on</w:t>
      </w:r>
      <w:r w:rsidRPr="00FA4BCF">
        <w:rPr>
          <w:sz w:val="18"/>
          <w:szCs w:val="18"/>
        </w:rPr>
        <w:t>:</w:t>
      </w:r>
    </w:p>
    <w:p w:rsidR="00D338E5" w:rsidRPr="00FA4BCF" w:rsidRDefault="00D338E5" w:rsidP="00D338E5">
      <w:pPr>
        <w:widowControl w:val="0"/>
        <w:numPr>
          <w:ilvl w:val="0"/>
          <w:numId w:val="1"/>
        </w:numPr>
        <w:tabs>
          <w:tab w:val="clear" w:pos="720"/>
          <w:tab w:val="left" w:pos="780"/>
        </w:tabs>
        <w:ind w:left="780" w:hanging="420"/>
        <w:rPr>
          <w:rFonts w:cs="Arial"/>
          <w:caps/>
          <w:sz w:val="18"/>
          <w:szCs w:val="18"/>
        </w:rPr>
      </w:pPr>
      <w:r w:rsidRPr="00FA4BCF">
        <w:rPr>
          <w:rFonts w:cs="Arial"/>
          <w:sz w:val="18"/>
          <w:szCs w:val="18"/>
        </w:rPr>
        <w:t>The appraisal methodology as reflected in the report</w:t>
      </w:r>
    </w:p>
    <w:p w:rsidR="00D338E5" w:rsidRPr="00FA4BCF" w:rsidRDefault="00D338E5" w:rsidP="00D338E5">
      <w:pPr>
        <w:widowControl w:val="0"/>
        <w:numPr>
          <w:ilvl w:val="0"/>
          <w:numId w:val="1"/>
        </w:numPr>
        <w:tabs>
          <w:tab w:val="clear" w:pos="720"/>
          <w:tab w:val="left" w:pos="780"/>
        </w:tabs>
        <w:ind w:left="780" w:hanging="420"/>
        <w:rPr>
          <w:rFonts w:cs="Arial"/>
          <w:caps/>
          <w:sz w:val="18"/>
          <w:szCs w:val="18"/>
        </w:rPr>
      </w:pPr>
      <w:r w:rsidRPr="00FA4BCF">
        <w:rPr>
          <w:rFonts w:cs="Arial"/>
          <w:sz w:val="18"/>
          <w:szCs w:val="18"/>
        </w:rPr>
        <w:t>The level of quality and complexity of the work performed</w:t>
      </w:r>
    </w:p>
    <w:p w:rsidR="00D338E5" w:rsidRPr="00FA4BCF" w:rsidRDefault="00D338E5" w:rsidP="00D338E5">
      <w:pPr>
        <w:widowControl w:val="0"/>
        <w:numPr>
          <w:ilvl w:val="0"/>
          <w:numId w:val="1"/>
        </w:numPr>
        <w:tabs>
          <w:tab w:val="clear" w:pos="720"/>
          <w:tab w:val="left" w:pos="780"/>
        </w:tabs>
        <w:ind w:left="780" w:hanging="420"/>
        <w:rPr>
          <w:rFonts w:cs="Arial"/>
          <w:caps/>
          <w:sz w:val="18"/>
          <w:szCs w:val="18"/>
        </w:rPr>
      </w:pPr>
      <w:r w:rsidRPr="00FA4BCF">
        <w:rPr>
          <w:rFonts w:cs="Arial"/>
          <w:sz w:val="18"/>
          <w:szCs w:val="18"/>
        </w:rPr>
        <w:t>Basic information in the report (e.g., letter of transmittal, certification, assumptions and limiting conditions, market value definition, effective date of appraisal and value, state, region and/or neighborhood data, and exhibits)</w:t>
      </w:r>
    </w:p>
    <w:p w:rsidR="00D338E5" w:rsidRPr="00FA4BCF" w:rsidRDefault="00D338E5" w:rsidP="00D338E5">
      <w:pPr>
        <w:widowControl w:val="0"/>
        <w:numPr>
          <w:ilvl w:val="0"/>
          <w:numId w:val="1"/>
        </w:numPr>
        <w:tabs>
          <w:tab w:val="clear" w:pos="720"/>
          <w:tab w:val="left" w:pos="780"/>
        </w:tabs>
        <w:ind w:left="780" w:hanging="420"/>
        <w:rPr>
          <w:rFonts w:cs="Arial"/>
          <w:caps/>
          <w:sz w:val="18"/>
          <w:szCs w:val="18"/>
        </w:rPr>
      </w:pPr>
      <w:r w:rsidRPr="00FA4BCF">
        <w:rPr>
          <w:rFonts w:cs="Arial"/>
          <w:sz w:val="18"/>
          <w:szCs w:val="18"/>
        </w:rPr>
        <w:t>Subject property data and analysis (e.g., larger parcel description, land data, improvement data, sales history, zoning, utilities, etc., and highest and best use before the taking)</w:t>
      </w:r>
    </w:p>
    <w:p w:rsidR="00D338E5" w:rsidRPr="00FA4BCF" w:rsidRDefault="00D338E5" w:rsidP="00D338E5">
      <w:pPr>
        <w:widowControl w:val="0"/>
        <w:numPr>
          <w:ilvl w:val="0"/>
          <w:numId w:val="1"/>
        </w:numPr>
        <w:tabs>
          <w:tab w:val="clear" w:pos="720"/>
          <w:tab w:val="left" w:pos="780"/>
        </w:tabs>
        <w:ind w:left="780" w:hanging="420"/>
        <w:rPr>
          <w:rFonts w:cs="Arial"/>
          <w:caps/>
          <w:sz w:val="18"/>
          <w:szCs w:val="18"/>
        </w:rPr>
      </w:pPr>
      <w:r w:rsidRPr="00FA4BCF">
        <w:rPr>
          <w:rFonts w:cs="Arial"/>
          <w:sz w:val="18"/>
          <w:szCs w:val="18"/>
        </w:rPr>
        <w:t>Analysis and value of the larger parcel using applicable approaches to value</w:t>
      </w:r>
    </w:p>
    <w:p w:rsidR="00D338E5" w:rsidRPr="00FA4BCF" w:rsidRDefault="00D338E5" w:rsidP="00D338E5">
      <w:pPr>
        <w:widowControl w:val="0"/>
        <w:numPr>
          <w:ilvl w:val="0"/>
          <w:numId w:val="1"/>
        </w:numPr>
        <w:tabs>
          <w:tab w:val="clear" w:pos="720"/>
          <w:tab w:val="left" w:pos="780"/>
        </w:tabs>
        <w:ind w:left="780" w:hanging="420"/>
        <w:rPr>
          <w:rFonts w:cs="Arial"/>
          <w:caps/>
          <w:sz w:val="18"/>
          <w:szCs w:val="18"/>
        </w:rPr>
      </w:pPr>
      <w:r w:rsidRPr="00FA4BCF">
        <w:rPr>
          <w:rFonts w:cs="Arial"/>
          <w:sz w:val="18"/>
          <w:szCs w:val="18"/>
        </w:rPr>
        <w:t>Analysis and value of the residue (remainder) after the taking or acquisition</w:t>
      </w:r>
    </w:p>
    <w:p w:rsidR="00D338E5" w:rsidRPr="00FA4BCF" w:rsidRDefault="00D338E5" w:rsidP="00D338E5">
      <w:pPr>
        <w:widowControl w:val="0"/>
        <w:numPr>
          <w:ilvl w:val="0"/>
          <w:numId w:val="1"/>
        </w:numPr>
        <w:tabs>
          <w:tab w:val="clear" w:pos="720"/>
          <w:tab w:val="left" w:pos="780"/>
        </w:tabs>
        <w:ind w:left="780" w:hanging="420"/>
        <w:rPr>
          <w:rFonts w:cs="Arial"/>
          <w:caps/>
          <w:sz w:val="18"/>
          <w:szCs w:val="18"/>
        </w:rPr>
      </w:pPr>
      <w:r w:rsidRPr="00FA4BCF">
        <w:rPr>
          <w:rFonts w:cs="Arial"/>
          <w:sz w:val="18"/>
          <w:szCs w:val="18"/>
        </w:rPr>
        <w:t>Analysis of any compensable damages and/or specific benefits, and compensation summary</w:t>
      </w:r>
    </w:p>
    <w:p w:rsidR="00D338E5" w:rsidRPr="00FA4BCF" w:rsidRDefault="00D338E5" w:rsidP="00D338E5">
      <w:pPr>
        <w:widowControl w:val="0"/>
        <w:numPr>
          <w:ilvl w:val="0"/>
          <w:numId w:val="1"/>
        </w:numPr>
        <w:tabs>
          <w:tab w:val="clear" w:pos="720"/>
          <w:tab w:val="left" w:pos="780"/>
        </w:tabs>
        <w:ind w:left="780" w:hanging="420"/>
        <w:jc w:val="both"/>
        <w:rPr>
          <w:rFonts w:cs="Arial"/>
          <w:b/>
          <w:caps/>
          <w:sz w:val="18"/>
          <w:szCs w:val="18"/>
        </w:rPr>
      </w:pPr>
      <w:r w:rsidRPr="00FA4BCF">
        <w:rPr>
          <w:rFonts w:cs="Arial"/>
          <w:sz w:val="18"/>
          <w:szCs w:val="18"/>
        </w:rPr>
        <w:t>The perceived level of sound judgment exercised by you in the valuation problem.</w:t>
      </w:r>
    </w:p>
    <w:p w:rsidR="00D338E5" w:rsidRPr="00FA4BCF" w:rsidRDefault="00D338E5" w:rsidP="00D338E5">
      <w:pPr>
        <w:jc w:val="both"/>
        <w:rPr>
          <w:sz w:val="18"/>
          <w:szCs w:val="18"/>
          <w:u w:val="single"/>
        </w:rPr>
      </w:pPr>
    </w:p>
    <w:p w:rsidR="00D338E5" w:rsidRPr="00FA4BCF" w:rsidRDefault="00D338E5" w:rsidP="00D338E5">
      <w:pPr>
        <w:jc w:val="both"/>
        <w:rPr>
          <w:sz w:val="18"/>
          <w:szCs w:val="18"/>
          <w:u w:val="single"/>
        </w:rPr>
      </w:pPr>
    </w:p>
    <w:p w:rsidR="00D338E5" w:rsidRPr="00FA4BCF" w:rsidRDefault="00D338E5" w:rsidP="00D338E5">
      <w:pPr>
        <w:rPr>
          <w:rFonts w:cs="Arial"/>
          <w:caps/>
          <w:sz w:val="18"/>
          <w:szCs w:val="18"/>
        </w:rPr>
      </w:pPr>
      <w:r w:rsidRPr="00FA4BCF">
        <w:rPr>
          <w:sz w:val="18"/>
          <w:szCs w:val="18"/>
        </w:rPr>
        <w:fldChar w:fldCharType="begin">
          <w:ffData>
            <w:name w:val="Check2"/>
            <w:enabled/>
            <w:calcOnExit w:val="0"/>
            <w:checkBox>
              <w:sizeAuto/>
              <w:default w:val="0"/>
            </w:checkBox>
          </w:ffData>
        </w:fldChar>
      </w:r>
      <w:r w:rsidRPr="00FA4BCF">
        <w:rPr>
          <w:sz w:val="18"/>
          <w:szCs w:val="18"/>
        </w:rPr>
        <w:instrText xml:space="preserve"> FORMCHECKBOX </w:instrText>
      </w:r>
      <w:r w:rsidRPr="00FA4BCF">
        <w:rPr>
          <w:rFonts w:ascii="Arial terminal" w:hAnsi="Arial terminal"/>
          <w:sz w:val="18"/>
          <w:szCs w:val="18"/>
        </w:rPr>
      </w:r>
      <w:r w:rsidRPr="00FA4BCF">
        <w:rPr>
          <w:rFonts w:ascii="Arial terminal" w:hAnsi="Arial terminal"/>
          <w:sz w:val="18"/>
          <w:szCs w:val="18"/>
        </w:rPr>
        <w:fldChar w:fldCharType="end"/>
      </w:r>
      <w:r w:rsidRPr="00FA4BCF">
        <w:rPr>
          <w:sz w:val="18"/>
          <w:szCs w:val="18"/>
        </w:rPr>
        <w:t xml:space="preserve">  </w:t>
      </w:r>
      <w:r w:rsidRPr="00FA4BCF">
        <w:rPr>
          <w:rFonts w:cs="Arial"/>
          <w:b/>
          <w:caps/>
          <w:sz w:val="18"/>
          <w:szCs w:val="18"/>
        </w:rPr>
        <w:t>REAL ESTATE APPRAISAL SERVICES AREAS:</w:t>
      </w:r>
    </w:p>
    <w:p w:rsidR="00D338E5" w:rsidRPr="00FA4BCF" w:rsidRDefault="00D338E5" w:rsidP="00D338E5">
      <w:pPr>
        <w:rPr>
          <w:sz w:val="18"/>
          <w:szCs w:val="18"/>
        </w:rPr>
      </w:pPr>
      <w:r w:rsidRPr="00FA4BCF">
        <w:rPr>
          <w:sz w:val="18"/>
          <w:szCs w:val="18"/>
        </w:rPr>
        <w:t xml:space="preserve">You shall provide a clear and adequate statement of qualifications to provide the following appraisal services, including a list of references.  List the name(s) of those individuals and Local Public Agencies, e.g., counties, </w:t>
      </w:r>
      <w:r w:rsidRPr="00FA4BCF">
        <w:rPr>
          <w:sz w:val="18"/>
          <w:szCs w:val="18"/>
        </w:rPr>
        <w:lastRenderedPageBreak/>
        <w:t>municipalities, utilities, etc., and a phone number of a contact person for whom you have performed eminent domain or right of way appraisal.  These references must be able to confirm that you have verifiable experience in eminent domain or right of way appraisal.</w:t>
      </w:r>
    </w:p>
    <w:p w:rsidR="00D338E5" w:rsidRPr="00FA4BCF" w:rsidRDefault="00D338E5" w:rsidP="00D338E5">
      <w:pPr>
        <w:widowControl w:val="0"/>
        <w:tabs>
          <w:tab w:val="left" w:pos="-144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cs="Arial"/>
          <w:sz w:val="18"/>
          <w:szCs w:val="18"/>
        </w:rPr>
      </w:pPr>
    </w:p>
    <w:p w:rsidR="00D338E5" w:rsidRPr="00FA4BCF" w:rsidRDefault="00D338E5" w:rsidP="00D338E5">
      <w:pPr>
        <w:widowControl w:val="0"/>
        <w:tabs>
          <w:tab w:val="left" w:pos="-1440"/>
          <w:tab w:val="left" w:pos="2880"/>
          <w:tab w:val="left" w:pos="3600"/>
          <w:tab w:val="left" w:pos="4320"/>
          <w:tab w:val="left" w:pos="5040"/>
          <w:tab w:val="left" w:pos="5760"/>
          <w:tab w:val="left" w:pos="6480"/>
          <w:tab w:val="left" w:pos="7200"/>
          <w:tab w:val="left" w:pos="7920"/>
          <w:tab w:val="left" w:pos="8640"/>
          <w:tab w:val="left" w:pos="9360"/>
        </w:tabs>
        <w:snapToGrid w:val="0"/>
        <w:ind w:firstLine="390"/>
        <w:jc w:val="both"/>
        <w:rPr>
          <w:sz w:val="18"/>
          <w:szCs w:val="18"/>
        </w:rPr>
      </w:pPr>
      <w:r w:rsidRPr="00FA4BCF">
        <w:rPr>
          <w:sz w:val="18"/>
          <w:szCs w:val="18"/>
        </w:rPr>
        <w:fldChar w:fldCharType="begin">
          <w:ffData>
            <w:name w:val="Check2"/>
            <w:enabled/>
            <w:calcOnExit w:val="0"/>
            <w:checkBox>
              <w:sizeAuto/>
              <w:default w:val="0"/>
            </w:checkBox>
          </w:ffData>
        </w:fldChar>
      </w:r>
      <w:r w:rsidRPr="00FA4BCF">
        <w:rPr>
          <w:sz w:val="18"/>
          <w:szCs w:val="18"/>
        </w:rPr>
        <w:instrText xml:space="preserve"> FORMCHECKBOX </w:instrText>
      </w:r>
      <w:r w:rsidRPr="00FA4BCF">
        <w:rPr>
          <w:rFonts w:ascii="Arial terminal" w:hAnsi="Arial terminal"/>
          <w:sz w:val="18"/>
          <w:szCs w:val="18"/>
        </w:rPr>
      </w:r>
      <w:r w:rsidRPr="00FA4BCF">
        <w:rPr>
          <w:rFonts w:ascii="Arial terminal" w:hAnsi="Arial terminal"/>
          <w:sz w:val="18"/>
          <w:szCs w:val="18"/>
        </w:rPr>
        <w:fldChar w:fldCharType="end"/>
      </w:r>
      <w:r w:rsidRPr="00FA4BCF">
        <w:rPr>
          <w:sz w:val="18"/>
          <w:szCs w:val="18"/>
        </w:rPr>
        <w:t xml:space="preserve">  </w:t>
      </w:r>
      <w:r w:rsidRPr="00FA4BCF">
        <w:rPr>
          <w:b/>
          <w:sz w:val="18"/>
          <w:szCs w:val="18"/>
        </w:rPr>
        <w:t>Appraisal Experience:</w:t>
      </w:r>
    </w:p>
    <w:p w:rsidR="00D338E5" w:rsidRPr="00FA4BCF" w:rsidRDefault="00D338E5" w:rsidP="00D338E5">
      <w:pPr>
        <w:ind w:left="390"/>
        <w:rPr>
          <w:bCs w:val="0"/>
          <w:sz w:val="18"/>
          <w:szCs w:val="18"/>
        </w:rPr>
      </w:pPr>
      <w:r w:rsidRPr="00FA4BCF">
        <w:rPr>
          <w:bCs w:val="0"/>
          <w:sz w:val="18"/>
          <w:szCs w:val="18"/>
        </w:rPr>
        <w:t>The statement must include information evidencing past experience performing “appraisal services” (or other related work) for general appraisal assignments, appraisals for litigation, and specifically eminent domain appraisals on behalf of CDOT, FHWA, property owners, and/or other public agencies.  The information selected for inclusion should aim to support your capability to perform appraisal services.</w:t>
      </w:r>
    </w:p>
    <w:p w:rsidR="00D338E5" w:rsidRPr="00FA4BCF" w:rsidRDefault="00D338E5" w:rsidP="00D338E5">
      <w:pPr>
        <w:jc w:val="both"/>
        <w:rPr>
          <w:bCs w:val="0"/>
          <w:sz w:val="18"/>
          <w:szCs w:val="18"/>
        </w:rPr>
      </w:pPr>
    </w:p>
    <w:p w:rsidR="00D338E5" w:rsidRPr="00FA4BCF" w:rsidRDefault="00D338E5" w:rsidP="00D338E5">
      <w:pPr>
        <w:ind w:firstLine="390"/>
        <w:jc w:val="both"/>
        <w:rPr>
          <w:b/>
          <w:bCs w:val="0"/>
          <w:sz w:val="18"/>
          <w:szCs w:val="18"/>
        </w:rPr>
      </w:pPr>
      <w:r w:rsidRPr="00FA4BCF">
        <w:rPr>
          <w:b/>
          <w:sz w:val="18"/>
          <w:szCs w:val="18"/>
        </w:rPr>
        <w:fldChar w:fldCharType="begin">
          <w:ffData>
            <w:name w:val="Check2"/>
            <w:enabled/>
            <w:calcOnExit w:val="0"/>
            <w:checkBox>
              <w:sizeAuto/>
              <w:default w:val="0"/>
            </w:checkBox>
          </w:ffData>
        </w:fldChar>
      </w:r>
      <w:r w:rsidRPr="00FA4BCF">
        <w:rPr>
          <w:b/>
          <w:sz w:val="18"/>
          <w:szCs w:val="18"/>
        </w:rPr>
        <w:instrText xml:space="preserve"> FORMCHECKBOX </w:instrText>
      </w:r>
      <w:r w:rsidRPr="00FA4BCF">
        <w:rPr>
          <w:rFonts w:ascii="Arial terminal" w:hAnsi="Arial terminal"/>
          <w:sz w:val="18"/>
          <w:szCs w:val="18"/>
        </w:rPr>
      </w:r>
      <w:r w:rsidRPr="00FA4BCF">
        <w:rPr>
          <w:rFonts w:ascii="Arial terminal" w:hAnsi="Arial terminal"/>
          <w:sz w:val="18"/>
          <w:szCs w:val="18"/>
        </w:rPr>
        <w:fldChar w:fldCharType="end"/>
      </w:r>
      <w:r w:rsidRPr="00FA4BCF">
        <w:rPr>
          <w:b/>
          <w:sz w:val="18"/>
          <w:szCs w:val="18"/>
        </w:rPr>
        <w:t xml:space="preserve">  </w:t>
      </w:r>
      <w:r w:rsidRPr="00FA4BCF">
        <w:rPr>
          <w:b/>
          <w:bCs w:val="0"/>
          <w:iCs/>
          <w:sz w:val="18"/>
          <w:szCs w:val="18"/>
        </w:rPr>
        <w:t>Litigation Experience</w:t>
      </w:r>
      <w:r w:rsidRPr="00FA4BCF">
        <w:rPr>
          <w:b/>
          <w:bCs w:val="0"/>
          <w:sz w:val="18"/>
          <w:szCs w:val="18"/>
        </w:rPr>
        <w:t>:</w:t>
      </w:r>
    </w:p>
    <w:p w:rsidR="00D338E5" w:rsidRPr="00FA4BCF" w:rsidRDefault="00D338E5" w:rsidP="00D338E5">
      <w:pPr>
        <w:ind w:left="390"/>
        <w:jc w:val="both"/>
        <w:rPr>
          <w:b/>
          <w:bCs w:val="0"/>
          <w:sz w:val="18"/>
          <w:szCs w:val="18"/>
        </w:rPr>
      </w:pPr>
      <w:r w:rsidRPr="00FA4BCF">
        <w:rPr>
          <w:bCs w:val="0"/>
          <w:sz w:val="18"/>
          <w:szCs w:val="18"/>
        </w:rPr>
        <w:t>The statement must include information evidencing your past experience performing “litigation services,” including the extent of such previous litigation related services to CDOT, FHWA, property owners, and/or other public agencies at pre-trial conferences, depositions, court appearances, and expert witness testimony concerning the “appraisal services” performed.</w:t>
      </w:r>
    </w:p>
    <w:p w:rsidR="00D338E5" w:rsidRPr="00FA4BCF" w:rsidRDefault="00D338E5" w:rsidP="00D338E5">
      <w:pPr>
        <w:jc w:val="both"/>
        <w:rPr>
          <w:bCs w:val="0"/>
          <w:sz w:val="18"/>
          <w:szCs w:val="18"/>
        </w:rPr>
      </w:pPr>
    </w:p>
    <w:p w:rsidR="00D338E5" w:rsidRPr="00FA4BCF" w:rsidRDefault="00D338E5" w:rsidP="00D338E5">
      <w:pPr>
        <w:ind w:left="390"/>
        <w:jc w:val="both"/>
        <w:rPr>
          <w:rFonts w:cs="Arial"/>
          <w:caps/>
          <w:sz w:val="18"/>
          <w:szCs w:val="18"/>
        </w:rPr>
      </w:pPr>
      <w:r w:rsidRPr="00FA4BCF">
        <w:rPr>
          <w:sz w:val="18"/>
          <w:szCs w:val="18"/>
        </w:rPr>
        <w:t>This statement section should include a listing of all Federal and State District Courts where you have been qualified as an expert witness, dates, and the number of times you have testified as an expert in litigation valuation.  A complete list of litigation depositions and hearings in which you were qualified as an expert witness must also be provided.</w:t>
      </w:r>
    </w:p>
    <w:p w:rsidR="00D338E5" w:rsidRPr="00FA4BCF" w:rsidRDefault="00D338E5" w:rsidP="00D338E5">
      <w:pPr>
        <w:widowControl w:val="0"/>
        <w:numPr>
          <w:ilvl w:val="0"/>
          <w:numId w:val="2"/>
        </w:numPr>
        <w:tabs>
          <w:tab w:val="clear" w:pos="1500"/>
        </w:tabs>
        <w:ind w:left="1404" w:hanging="624"/>
        <w:rPr>
          <w:rFonts w:cs="Arial"/>
          <w:caps/>
          <w:sz w:val="18"/>
          <w:szCs w:val="18"/>
        </w:rPr>
      </w:pPr>
      <w:r w:rsidRPr="00FA4BCF">
        <w:rPr>
          <w:rFonts w:cs="Arial"/>
          <w:sz w:val="18"/>
          <w:szCs w:val="18"/>
        </w:rPr>
        <w:t>Other areas of litigation experience may include but are not limited to immediate possession hearings, administrative hearings, board of equalization testimony, etc.</w:t>
      </w:r>
    </w:p>
    <w:p w:rsidR="00D338E5" w:rsidRPr="00FA4BCF" w:rsidRDefault="00D338E5" w:rsidP="00D338E5">
      <w:pPr>
        <w:widowControl w:val="0"/>
        <w:numPr>
          <w:ilvl w:val="0"/>
          <w:numId w:val="2"/>
        </w:numPr>
        <w:tabs>
          <w:tab w:val="clear" w:pos="1500"/>
        </w:tabs>
        <w:ind w:left="1404" w:hanging="624"/>
        <w:rPr>
          <w:rFonts w:cs="Arial"/>
          <w:caps/>
          <w:sz w:val="18"/>
          <w:szCs w:val="18"/>
        </w:rPr>
      </w:pPr>
      <w:r w:rsidRPr="00FA4BCF">
        <w:rPr>
          <w:rFonts w:cs="Arial"/>
          <w:i/>
          <w:iCs/>
          <w:sz w:val="18"/>
          <w:szCs w:val="18"/>
          <w:u w:val="single"/>
        </w:rPr>
        <w:t>Lack of litigation experience will not necessarily preclude you from qualifying as an appraiser for Local Public Agencies</w:t>
      </w:r>
      <w:r w:rsidRPr="00FA4BCF">
        <w:rPr>
          <w:rFonts w:cs="Arial"/>
          <w:iCs/>
          <w:sz w:val="18"/>
          <w:szCs w:val="18"/>
        </w:rPr>
        <w:t>.</w:t>
      </w:r>
    </w:p>
    <w:p w:rsidR="00D338E5" w:rsidRPr="00FA4BCF" w:rsidRDefault="00D338E5" w:rsidP="00D338E5">
      <w:pPr>
        <w:widowControl w:val="0"/>
        <w:ind w:left="780"/>
        <w:rPr>
          <w:rFonts w:cs="Arial"/>
          <w:caps/>
          <w:sz w:val="18"/>
          <w:szCs w:val="18"/>
        </w:rPr>
      </w:pPr>
      <w:bookmarkStart w:id="0" w:name="_GoBack"/>
      <w:bookmarkEnd w:id="0"/>
    </w:p>
    <w:p w:rsidR="00D338E5" w:rsidRPr="00FA4BCF" w:rsidRDefault="00D338E5" w:rsidP="00D338E5">
      <w:pPr>
        <w:widowControl w:val="0"/>
        <w:rPr>
          <w:rFonts w:cs="Arial"/>
          <w:caps/>
          <w:sz w:val="18"/>
          <w:szCs w:val="18"/>
        </w:rPr>
      </w:pPr>
      <w:r w:rsidRPr="00FA4BCF">
        <w:rPr>
          <w:b/>
          <w:sz w:val="18"/>
          <w:szCs w:val="18"/>
        </w:rPr>
        <w:fldChar w:fldCharType="begin">
          <w:ffData>
            <w:name w:val="Check2"/>
            <w:enabled/>
            <w:calcOnExit w:val="0"/>
            <w:checkBox>
              <w:sizeAuto/>
              <w:default w:val="0"/>
            </w:checkBox>
          </w:ffData>
        </w:fldChar>
      </w:r>
      <w:r w:rsidRPr="00FA4BCF">
        <w:rPr>
          <w:b/>
          <w:sz w:val="18"/>
          <w:szCs w:val="18"/>
        </w:rPr>
        <w:instrText xml:space="preserve"> FORMCHECKBOX </w:instrText>
      </w:r>
      <w:r w:rsidRPr="00FA4BCF">
        <w:rPr>
          <w:rFonts w:ascii="Arial terminal" w:hAnsi="Arial terminal"/>
          <w:sz w:val="18"/>
          <w:szCs w:val="18"/>
        </w:rPr>
      </w:r>
      <w:r w:rsidRPr="00FA4BCF">
        <w:rPr>
          <w:rFonts w:ascii="Arial terminal" w:hAnsi="Arial terminal"/>
          <w:sz w:val="18"/>
          <w:szCs w:val="18"/>
        </w:rPr>
        <w:fldChar w:fldCharType="end"/>
      </w:r>
      <w:r w:rsidRPr="00FA4BCF">
        <w:rPr>
          <w:b/>
          <w:sz w:val="18"/>
          <w:szCs w:val="18"/>
        </w:rPr>
        <w:t xml:space="preserve">  </w:t>
      </w:r>
      <w:r w:rsidRPr="00FA4BCF">
        <w:rPr>
          <w:rFonts w:cs="Arial"/>
          <w:b/>
          <w:sz w:val="18"/>
          <w:szCs w:val="18"/>
        </w:rPr>
        <w:t>REAL ESTATE EDUCATION</w:t>
      </w:r>
      <w:r w:rsidRPr="00FA4BCF">
        <w:rPr>
          <w:rFonts w:cs="Arial"/>
          <w:sz w:val="18"/>
          <w:szCs w:val="18"/>
        </w:rPr>
        <w:t>:</w:t>
      </w:r>
    </w:p>
    <w:p w:rsidR="00D338E5" w:rsidRPr="00FA4BCF" w:rsidRDefault="00D338E5" w:rsidP="00D338E5">
      <w:pPr>
        <w:rPr>
          <w:rFonts w:cs="Arial"/>
          <w:bCs w:val="0"/>
          <w:sz w:val="18"/>
          <w:szCs w:val="18"/>
        </w:rPr>
      </w:pPr>
      <w:r w:rsidRPr="00FA4BCF">
        <w:rPr>
          <w:bCs w:val="0"/>
          <w:sz w:val="18"/>
          <w:szCs w:val="18"/>
        </w:rPr>
        <w:t>This section of the statement must include information evidencing course work completed in the area of real property appraisal, litigation/eminent domain appraisal, and/or comparable, related field(s).</w:t>
      </w:r>
    </w:p>
    <w:p w:rsidR="00D338E5" w:rsidRPr="00FA4BCF" w:rsidRDefault="00D338E5" w:rsidP="00D338E5">
      <w:pPr>
        <w:rPr>
          <w:rFonts w:cs="Arial"/>
          <w:bCs w:val="0"/>
          <w:sz w:val="18"/>
          <w:szCs w:val="18"/>
        </w:rPr>
      </w:pPr>
    </w:p>
    <w:p w:rsidR="00D338E5" w:rsidRPr="00FA4BCF" w:rsidRDefault="00D338E5" w:rsidP="00D338E5">
      <w:pPr>
        <w:rPr>
          <w:rFonts w:cs="Arial"/>
          <w:bCs w:val="0"/>
          <w:sz w:val="18"/>
          <w:szCs w:val="18"/>
        </w:rPr>
      </w:pPr>
      <w:r w:rsidRPr="00FA4BCF">
        <w:rPr>
          <w:b/>
          <w:sz w:val="18"/>
          <w:szCs w:val="18"/>
        </w:rPr>
        <w:fldChar w:fldCharType="begin">
          <w:ffData>
            <w:name w:val="Check2"/>
            <w:enabled/>
            <w:calcOnExit w:val="0"/>
            <w:checkBox>
              <w:sizeAuto/>
              <w:default w:val="0"/>
            </w:checkBox>
          </w:ffData>
        </w:fldChar>
      </w:r>
      <w:r w:rsidRPr="00FA4BCF">
        <w:rPr>
          <w:b/>
          <w:sz w:val="18"/>
          <w:szCs w:val="18"/>
        </w:rPr>
        <w:instrText xml:space="preserve"> FORMCHECKBOX </w:instrText>
      </w:r>
      <w:r w:rsidRPr="00FA4BCF">
        <w:rPr>
          <w:rFonts w:ascii="Arial terminal" w:hAnsi="Arial terminal"/>
          <w:sz w:val="18"/>
          <w:szCs w:val="18"/>
        </w:rPr>
      </w:r>
      <w:r w:rsidRPr="00FA4BCF">
        <w:rPr>
          <w:rFonts w:ascii="Arial terminal" w:hAnsi="Arial terminal"/>
          <w:sz w:val="18"/>
          <w:szCs w:val="18"/>
        </w:rPr>
        <w:fldChar w:fldCharType="end"/>
      </w:r>
      <w:r w:rsidRPr="00FA4BCF">
        <w:rPr>
          <w:b/>
          <w:sz w:val="18"/>
          <w:szCs w:val="18"/>
        </w:rPr>
        <w:t xml:space="preserve">  </w:t>
      </w:r>
      <w:r w:rsidRPr="00FA4BCF">
        <w:rPr>
          <w:rFonts w:cs="Arial"/>
          <w:b/>
          <w:caps/>
          <w:sz w:val="18"/>
          <w:szCs w:val="18"/>
        </w:rPr>
        <w:t>REGIONAL WORK AGREEMENT</w:t>
      </w:r>
      <w:r w:rsidRPr="00FA4BCF">
        <w:rPr>
          <w:rFonts w:cs="Arial"/>
          <w:caps/>
          <w:sz w:val="18"/>
          <w:szCs w:val="18"/>
        </w:rPr>
        <w:t>:</w:t>
      </w:r>
    </w:p>
    <w:p w:rsidR="00D338E5" w:rsidRPr="00FA4BCF" w:rsidRDefault="00D338E5" w:rsidP="00D338E5">
      <w:pPr>
        <w:tabs>
          <w:tab w:val="left" w:pos="0"/>
        </w:tabs>
        <w:jc w:val="both"/>
        <w:rPr>
          <w:rFonts w:cs="Arial"/>
          <w:sz w:val="18"/>
          <w:szCs w:val="18"/>
          <w:highlight w:val="yellow"/>
        </w:rPr>
      </w:pPr>
      <w:r w:rsidRPr="00FA4BCF">
        <w:rPr>
          <w:sz w:val="18"/>
          <w:szCs w:val="18"/>
        </w:rPr>
        <w:t>Include a statement as to which of the six CDOT Regions you can and agree to perform the type of services described in this statement.  Ask a Region ROW Manager/Supervisor for a complete listing of various counties served by each CDOT Region.  You may indicate to perform the services in only one Region, or in only certain Regions, or in all six Regions (e.g., Region 1, 2, 3, 4, 5, and 6).  This information will be used to compile both a Master and Regional List for Local Public Agency appraisers.  You will be limited to working for those LPAs with projects in the Regions where you agree to work.</w:t>
      </w:r>
    </w:p>
    <w:p w:rsidR="00D338E5" w:rsidRPr="00FA4BCF" w:rsidRDefault="00D338E5" w:rsidP="00D338E5">
      <w:pPr>
        <w:tabs>
          <w:tab w:val="left" w:pos="0"/>
          <w:tab w:val="left" w:pos="720"/>
          <w:tab w:val="left" w:pos="1440"/>
          <w:tab w:val="left" w:pos="2160"/>
        </w:tabs>
        <w:jc w:val="both"/>
        <w:rPr>
          <w:rFonts w:cs="Arial"/>
          <w:sz w:val="18"/>
          <w:szCs w:val="18"/>
          <w:highlight w:val="yellow"/>
        </w:rPr>
      </w:pPr>
    </w:p>
    <w:p w:rsidR="00D338E5" w:rsidRPr="00FA4BCF" w:rsidRDefault="00D338E5" w:rsidP="00D338E5">
      <w:pPr>
        <w:widowControl w:val="0"/>
        <w:snapToGrid w:val="0"/>
        <w:ind w:left="-720"/>
        <w:jc w:val="both"/>
        <w:rPr>
          <w:sz w:val="18"/>
          <w:szCs w:val="18"/>
        </w:rPr>
      </w:pPr>
      <w:r w:rsidRPr="00FA4BCF">
        <w:rPr>
          <w:sz w:val="18"/>
          <w:szCs w:val="18"/>
        </w:rPr>
        <w:t xml:space="preserve">Acknowledgment:  I DECLARE UNDER PENALTY OF PERJURY IN THE SECOND DEGREE, AND ANY OTHER APPLICABLE STATE OR FEDERAL LAWS, THE STATEMENTS ATTACHED TO THIS DOCUMENT ARE TRUE AND COMPLETE TO THE BEST OF MY KNOWLEDGE.  </w:t>
      </w:r>
    </w:p>
    <w:p w:rsidR="00D338E5" w:rsidRPr="00FA4BCF" w:rsidRDefault="00D338E5" w:rsidP="00D338E5">
      <w:pPr>
        <w:widowControl w:val="0"/>
        <w:tabs>
          <w:tab w:val="left" w:pos="-1440"/>
          <w:tab w:val="left" w:pos="-720"/>
          <w:tab w:val="left" w:pos="0"/>
          <w:tab w:val="left" w:pos="8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30" w:lineRule="auto"/>
        <w:ind w:left="-720" w:right="389" w:firstLine="723"/>
        <w:jc w:val="both"/>
        <w:rPr>
          <w:sz w:val="18"/>
          <w:szCs w:val="18"/>
        </w:rPr>
      </w:pPr>
    </w:p>
    <w:p w:rsidR="00D338E5" w:rsidRPr="00FA4BCF" w:rsidRDefault="00D338E5" w:rsidP="00D338E5">
      <w:pPr>
        <w:widowControl w:val="0"/>
        <w:snapToGrid w:val="0"/>
        <w:ind w:left="-720"/>
        <w:jc w:val="both"/>
        <w:rPr>
          <w:sz w:val="18"/>
          <w:szCs w:val="18"/>
        </w:rPr>
      </w:pPr>
      <w:r w:rsidRPr="00FA4BCF">
        <w:rPr>
          <w:sz w:val="18"/>
          <w:szCs w:val="18"/>
        </w:rPr>
        <w:t>Signature of individual:</w:t>
      </w:r>
    </w:p>
    <w:p w:rsidR="00D338E5" w:rsidRPr="00FA4BCF" w:rsidRDefault="00D338E5" w:rsidP="00D338E5">
      <w:pPr>
        <w:widowControl w:val="0"/>
        <w:snapToGrid w:val="0"/>
        <w:ind w:left="-720"/>
        <w:jc w:val="both"/>
        <w:rPr>
          <w:sz w:val="18"/>
          <w:szCs w:val="18"/>
        </w:rPr>
      </w:pPr>
    </w:p>
    <w:p w:rsidR="00D338E5" w:rsidRPr="00FA4BCF" w:rsidRDefault="00D338E5" w:rsidP="00D338E5">
      <w:pPr>
        <w:widowControl w:val="0"/>
        <w:snapToGrid w:val="0"/>
        <w:ind w:left="-720"/>
        <w:jc w:val="both"/>
        <w:rPr>
          <w:sz w:val="18"/>
          <w:szCs w:val="18"/>
        </w:rPr>
      </w:pPr>
    </w:p>
    <w:p w:rsidR="00D338E5" w:rsidRPr="00FA4BCF" w:rsidRDefault="00D338E5" w:rsidP="00D338E5">
      <w:pPr>
        <w:widowControl w:val="0"/>
        <w:snapToGrid w:val="0"/>
        <w:ind w:left="-720"/>
        <w:jc w:val="both"/>
        <w:rPr>
          <w:sz w:val="18"/>
          <w:szCs w:val="18"/>
          <w:u w:val="single"/>
        </w:rPr>
      </w:pPr>
      <w:r w:rsidRPr="00FA4BCF">
        <w:rPr>
          <w:sz w:val="18"/>
          <w:szCs w:val="18"/>
          <w:u w:val="single"/>
        </w:rPr>
        <w:tab/>
      </w:r>
      <w:r w:rsidRPr="00FA4BCF">
        <w:rPr>
          <w:sz w:val="18"/>
          <w:szCs w:val="18"/>
          <w:u w:val="single"/>
        </w:rPr>
        <w:tab/>
      </w:r>
      <w:r w:rsidRPr="00FA4BCF">
        <w:rPr>
          <w:sz w:val="18"/>
          <w:szCs w:val="18"/>
          <w:u w:val="single"/>
        </w:rPr>
        <w:tab/>
      </w:r>
      <w:r w:rsidRPr="00FA4BCF">
        <w:rPr>
          <w:sz w:val="18"/>
          <w:szCs w:val="18"/>
          <w:u w:val="single"/>
        </w:rPr>
        <w:tab/>
      </w:r>
      <w:r w:rsidRPr="00FA4BCF">
        <w:rPr>
          <w:sz w:val="18"/>
          <w:szCs w:val="18"/>
          <w:u w:val="single"/>
        </w:rPr>
        <w:tab/>
      </w:r>
      <w:r w:rsidRPr="00FA4BCF">
        <w:rPr>
          <w:sz w:val="18"/>
          <w:szCs w:val="18"/>
          <w:u w:val="single"/>
        </w:rPr>
        <w:tab/>
      </w:r>
      <w:r w:rsidRPr="00FA4BCF">
        <w:rPr>
          <w:sz w:val="18"/>
          <w:szCs w:val="18"/>
        </w:rPr>
        <w:tab/>
      </w:r>
      <w:r w:rsidRPr="00FA4BCF">
        <w:rPr>
          <w:sz w:val="18"/>
          <w:szCs w:val="18"/>
          <w:u w:val="single"/>
        </w:rPr>
        <w:tab/>
      </w:r>
      <w:r w:rsidRPr="00FA4BCF">
        <w:rPr>
          <w:sz w:val="18"/>
          <w:szCs w:val="18"/>
          <w:u w:val="single"/>
        </w:rPr>
        <w:tab/>
      </w:r>
      <w:r w:rsidRPr="00FA4BCF">
        <w:rPr>
          <w:sz w:val="18"/>
          <w:szCs w:val="18"/>
          <w:u w:val="single"/>
        </w:rPr>
        <w:tab/>
      </w:r>
    </w:p>
    <w:p w:rsidR="00D338E5" w:rsidRPr="00FA4BCF" w:rsidRDefault="00D338E5" w:rsidP="00D338E5">
      <w:pPr>
        <w:widowControl w:val="0"/>
        <w:snapToGrid w:val="0"/>
        <w:ind w:left="-720"/>
        <w:jc w:val="both"/>
        <w:rPr>
          <w:sz w:val="18"/>
          <w:szCs w:val="18"/>
        </w:rPr>
      </w:pPr>
      <w:r w:rsidRPr="00FA4BCF">
        <w:rPr>
          <w:sz w:val="18"/>
          <w:szCs w:val="18"/>
        </w:rPr>
        <w:t>Title:</w:t>
      </w:r>
      <w:r w:rsidRPr="00FA4BCF">
        <w:rPr>
          <w:sz w:val="18"/>
          <w:szCs w:val="18"/>
        </w:rPr>
        <w:tab/>
      </w:r>
      <w:r w:rsidRPr="00FA4BCF">
        <w:rPr>
          <w:sz w:val="18"/>
          <w:szCs w:val="18"/>
        </w:rPr>
        <w:tab/>
      </w:r>
      <w:r w:rsidRPr="00FA4BCF">
        <w:rPr>
          <w:sz w:val="18"/>
          <w:szCs w:val="18"/>
        </w:rPr>
        <w:tab/>
      </w:r>
      <w:r w:rsidRPr="00FA4BCF">
        <w:rPr>
          <w:sz w:val="18"/>
          <w:szCs w:val="18"/>
        </w:rPr>
        <w:tab/>
      </w:r>
      <w:r w:rsidRPr="00FA4BCF">
        <w:rPr>
          <w:sz w:val="18"/>
          <w:szCs w:val="18"/>
        </w:rPr>
        <w:tab/>
      </w:r>
      <w:r w:rsidRPr="00FA4BCF">
        <w:rPr>
          <w:sz w:val="18"/>
          <w:szCs w:val="18"/>
        </w:rPr>
        <w:tab/>
      </w:r>
      <w:r w:rsidRPr="00FA4BCF">
        <w:rPr>
          <w:sz w:val="18"/>
          <w:szCs w:val="18"/>
        </w:rPr>
        <w:tab/>
        <w:t>Date:</w:t>
      </w:r>
    </w:p>
    <w:p w:rsidR="00D338E5" w:rsidRPr="00FA4BCF" w:rsidRDefault="00D338E5" w:rsidP="00D338E5">
      <w:pPr>
        <w:widowControl w:val="0"/>
        <w:snapToGrid w:val="0"/>
        <w:ind w:left="-720"/>
        <w:jc w:val="both"/>
        <w:rPr>
          <w:sz w:val="18"/>
          <w:szCs w:val="18"/>
        </w:rPr>
      </w:pPr>
    </w:p>
    <w:p w:rsidR="00D338E5" w:rsidRPr="00FA4BCF" w:rsidRDefault="00D338E5" w:rsidP="00D338E5">
      <w:pPr>
        <w:widowControl w:val="0"/>
        <w:snapToGrid w:val="0"/>
        <w:spacing w:line="230" w:lineRule="auto"/>
        <w:ind w:left="-720" w:right="389"/>
        <w:jc w:val="both"/>
        <w:rPr>
          <w:sz w:val="18"/>
          <w:szCs w:val="18"/>
          <w:u w:val="single"/>
        </w:rPr>
      </w:pPr>
    </w:p>
    <w:p w:rsidR="00D338E5" w:rsidRPr="00FA4BCF" w:rsidRDefault="00D338E5" w:rsidP="00D338E5">
      <w:pPr>
        <w:widowControl w:val="0"/>
        <w:snapToGrid w:val="0"/>
        <w:ind w:left="-720"/>
        <w:jc w:val="both"/>
        <w:rPr>
          <w:sz w:val="18"/>
          <w:szCs w:val="18"/>
        </w:rPr>
      </w:pPr>
    </w:p>
    <w:p w:rsidR="00D338E5" w:rsidRPr="00FA4BCF" w:rsidRDefault="00D338E5" w:rsidP="00D338E5">
      <w:pPr>
        <w:widowControl w:val="0"/>
        <w:snapToGrid w:val="0"/>
        <w:ind w:left="-720"/>
        <w:jc w:val="both"/>
        <w:rPr>
          <w:sz w:val="18"/>
          <w:szCs w:val="18"/>
        </w:rPr>
      </w:pPr>
      <w:r w:rsidRPr="00FA4BCF">
        <w:rPr>
          <w:sz w:val="18"/>
          <w:szCs w:val="18"/>
          <w:u w:val="single"/>
        </w:rPr>
        <w:tab/>
      </w:r>
      <w:r w:rsidRPr="00FA4BCF">
        <w:rPr>
          <w:sz w:val="18"/>
          <w:szCs w:val="18"/>
          <w:u w:val="single"/>
        </w:rPr>
        <w:tab/>
      </w:r>
      <w:r w:rsidRPr="00FA4BCF">
        <w:rPr>
          <w:sz w:val="18"/>
          <w:szCs w:val="18"/>
          <w:u w:val="single"/>
        </w:rPr>
        <w:tab/>
      </w:r>
      <w:r w:rsidRPr="00FA4BCF">
        <w:rPr>
          <w:sz w:val="18"/>
          <w:szCs w:val="18"/>
          <w:u w:val="single"/>
        </w:rPr>
        <w:tab/>
      </w:r>
      <w:r w:rsidRPr="00FA4BCF">
        <w:rPr>
          <w:sz w:val="18"/>
          <w:szCs w:val="18"/>
          <w:u w:val="single"/>
        </w:rPr>
        <w:tab/>
      </w:r>
      <w:r w:rsidRPr="00FA4BCF">
        <w:rPr>
          <w:sz w:val="18"/>
          <w:szCs w:val="18"/>
          <w:u w:val="single"/>
        </w:rPr>
        <w:tab/>
      </w:r>
      <w:r w:rsidRPr="00FA4BCF">
        <w:rPr>
          <w:sz w:val="18"/>
          <w:szCs w:val="18"/>
        </w:rPr>
        <w:tab/>
      </w:r>
      <w:r w:rsidRPr="00FA4BCF">
        <w:rPr>
          <w:sz w:val="18"/>
          <w:szCs w:val="18"/>
          <w:u w:val="single"/>
        </w:rPr>
        <w:tab/>
      </w:r>
      <w:r w:rsidRPr="00FA4BCF">
        <w:rPr>
          <w:sz w:val="18"/>
          <w:szCs w:val="18"/>
          <w:u w:val="single"/>
        </w:rPr>
        <w:tab/>
      </w:r>
      <w:r w:rsidRPr="00FA4BCF">
        <w:rPr>
          <w:sz w:val="18"/>
          <w:szCs w:val="18"/>
          <w:u w:val="single"/>
        </w:rPr>
        <w:tab/>
      </w:r>
    </w:p>
    <w:p w:rsidR="00D338E5" w:rsidRPr="00FA4BCF" w:rsidRDefault="00D338E5" w:rsidP="00D338E5">
      <w:pPr>
        <w:widowControl w:val="0"/>
        <w:snapToGrid w:val="0"/>
        <w:ind w:left="-720"/>
        <w:jc w:val="both"/>
        <w:rPr>
          <w:sz w:val="18"/>
          <w:szCs w:val="18"/>
        </w:rPr>
      </w:pPr>
      <w:r w:rsidRPr="00FA4BCF">
        <w:rPr>
          <w:sz w:val="18"/>
          <w:szCs w:val="18"/>
        </w:rPr>
        <w:t xml:space="preserve">Approved by Region ROW Manager/Supervisor       </w:t>
      </w:r>
      <w:r w:rsidRPr="00FA4BCF">
        <w:rPr>
          <w:sz w:val="18"/>
          <w:szCs w:val="18"/>
        </w:rPr>
        <w:tab/>
        <w:t>Date</w:t>
      </w:r>
      <w:r w:rsidRPr="00FA4BCF">
        <w:rPr>
          <w:sz w:val="18"/>
          <w:szCs w:val="18"/>
          <w:u w:val="single"/>
        </w:rPr>
        <w:t xml:space="preserve">      </w:t>
      </w:r>
    </w:p>
    <w:sectPr w:rsidR="00D338E5" w:rsidRPr="00FA4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terminal">
    <w:altName w:val="Lucida Console"/>
    <w:charset w:val="00"/>
    <w:family w:val="modern"/>
    <w:pitch w:val="fixed"/>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3CF0"/>
    <w:multiLevelType w:val="hybridMultilevel"/>
    <w:tmpl w:val="90C42528"/>
    <w:lvl w:ilvl="0" w:tplc="B282C3DE">
      <w:start w:val="1"/>
      <w:numFmt w:val="bullet"/>
      <w:lvlText w:val=""/>
      <w:lvlJc w:val="left"/>
      <w:pPr>
        <w:tabs>
          <w:tab w:val="num" w:pos="1500"/>
        </w:tabs>
        <w:ind w:left="1500" w:firstLine="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
    <w:nsid w:val="67F5783A"/>
    <w:multiLevelType w:val="hybridMultilevel"/>
    <w:tmpl w:val="1FC409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E5"/>
    <w:rsid w:val="007F7294"/>
    <w:rsid w:val="00D338E5"/>
    <w:rsid w:val="00FA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E5"/>
    <w:pPr>
      <w:spacing w:after="0" w:line="240" w:lineRule="auto"/>
    </w:pPr>
    <w:rPr>
      <w:rFonts w:ascii="Arial" w:eastAsia="Times New Roman" w:hAnsi="Arial" w:cs="Times New Roman"/>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E5"/>
    <w:pPr>
      <w:spacing w:after="0" w:line="240" w:lineRule="auto"/>
    </w:pPr>
    <w:rPr>
      <w:rFonts w:ascii="Arial" w:eastAsia="Times New Roman" w:hAnsi="Arial" w:cs="Times New Roman"/>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Denise</dc:creator>
  <cp:lastModifiedBy>Randolph, Denise</cp:lastModifiedBy>
  <cp:revision>2</cp:revision>
  <dcterms:created xsi:type="dcterms:W3CDTF">2011-02-10T22:00:00Z</dcterms:created>
  <dcterms:modified xsi:type="dcterms:W3CDTF">2011-02-10T22:04:00Z</dcterms:modified>
</cp:coreProperties>
</file>